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МИНИСТЕРСТВО ПРОСВЕЩЕНИЯ РОССИЙСКОЙ ФЕДЕРАЦИИ</w:t>
      </w:r>
    </w:p>
    <w:p>
      <w:pPr>
        <w:jc w:val="center"/>
        <w:ind w:right="9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Департамент Смоленской области по образованию и науке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Администрация города Смоленска</w:t>
      </w:r>
    </w:p>
    <w:p>
      <w:pPr>
        <w:jc w:val="center"/>
        <w:ind w:righ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МБОУ «СШ №35»</w:t>
      </w:r>
    </w:p>
    <w:p>
      <w:pPr>
        <w:sectPr>
          <w:pgSz w:w="11900" w:h="16836" w:orient="portrait"/>
          <w:cols w:equalWidth="0" w:num="1">
            <w:col w:w="9980"/>
          </w:cols>
          <w:pgMar w:left="1440" w:top="1127" w:right="484" w:bottom="1440" w:gutter="0" w:footer="0" w:header="0"/>
        </w:sectPr>
      </w:pP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РАССМОТРЕНО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УТВЕРЖДЕНО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-1266190</wp:posOffset>
            </wp:positionH>
            <wp:positionV relativeFrom="paragraph">
              <wp:posOffset>-148590</wp:posOffset>
            </wp:positionV>
            <wp:extent cx="2427605" cy="14954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sectPr>
          <w:pgSz w:w="11900" w:h="16836" w:orient="portrait"/>
          <w:cols w:equalWidth="0" w:num="2">
            <w:col w:w="6280" w:space="720"/>
            <w:col w:w="2980"/>
          </w:cols>
          <w:pgMar w:left="1440" w:top="1127" w:right="484" w:bottom="1440" w:gutter="0" w:footer="0" w:header="0"/>
          <w:type w:val="continuous"/>
        </w:sect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педагогическим советом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Директор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ectPr>
          <w:pgSz w:w="11900" w:h="16836" w:orient="portrait"/>
          <w:cols w:equalWidth="0" w:num="2">
            <w:col w:w="6280" w:space="720"/>
            <w:col w:w="2980"/>
          </w:cols>
          <w:pgMar w:left="1440" w:top="1127" w:right="484" w:bottom="1440" w:gutter="0" w:footer="0" w:header="0"/>
          <w:type w:val="continuous"/>
        </w:sect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Протокол №1</w:t>
      </w:r>
    </w:p>
    <w:p>
      <w:pPr>
        <w:sectPr>
          <w:pgSz w:w="11900" w:h="16836" w:orient="portrait"/>
          <w:cols w:equalWidth="0" w:num="1">
            <w:col w:w="9980"/>
          </w:cols>
          <w:pgMar w:left="1440" w:top="1127" w:right="484" w:bottom="1440" w:gutter="0" w:footer="0" w:header="0"/>
          <w:type w:val="continuous"/>
        </w:sectPr>
      </w:pP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31 августа 2021 года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_Е.А.Зайцева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ectPr>
          <w:pgSz w:w="11900" w:h="16836" w:orient="portrait"/>
          <w:cols w:equalWidth="0" w:num="2">
            <w:col w:w="6280" w:space="720"/>
            <w:col w:w="2980"/>
          </w:cols>
          <w:pgMar w:left="1440" w:top="1127" w:right="484" w:bottom="1440" w:gutter="0" w:footer="0" w:header="0"/>
          <w:type w:val="continuous"/>
        </w:sectPr>
      </w:pPr>
    </w:p>
    <w:p>
      <w:pPr>
        <w:ind w:left="7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Приказ №88/1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ind w:left="7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31 августа 2021 года</w:t>
      </w:r>
    </w:p>
    <w:p>
      <w:pPr>
        <w:sectPr>
          <w:pgSz w:w="11900" w:h="16836" w:orient="portrait"/>
          <w:cols w:equalWidth="0" w:num="1">
            <w:col w:w="9980"/>
          </w:cols>
          <w:pgMar w:left="1440" w:top="1127" w:right="484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jc w:val="center"/>
        <w:ind w:righ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РАБОЧАЯ ПРОГРАММА</w:t>
      </w:r>
    </w:p>
    <w:p>
      <w:pPr>
        <w:jc w:val="center"/>
        <w:ind w:righ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среднего общего образования</w:t>
      </w:r>
    </w:p>
    <w:p>
      <w:pPr>
        <w:jc w:val="center"/>
        <w:ind w:righ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 элективному предмету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Экономика без тайн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4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Автор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составитель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Атрошенкова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учитель истории и обществознания</w:t>
      </w:r>
    </w:p>
    <w:p>
      <w:pPr>
        <w:ind w:left="4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высшей квалификационной категории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4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2021</w:t>
      </w:r>
    </w:p>
    <w:p>
      <w:pPr>
        <w:sectPr>
          <w:pgSz w:w="11900" w:h="16836" w:orient="portrait"/>
          <w:cols w:equalWidth="0" w:num="1">
            <w:col w:w="9980"/>
          </w:cols>
          <w:pgMar w:left="1440" w:top="1127" w:right="484" w:bottom="1440" w:gutter="0" w:footer="0" w:header="0"/>
          <w:type w:val="continuous"/>
        </w:sect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Пояснительная записка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120" w:firstLine="56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Рабочая программа по элективному курсу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Экономика без тайн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разработана с учетом логики учебного процесса общего среднего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межпредметных и внутрипредметных связей в соответствии с ФГОС среднего общего образования на основе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Примерной программы среднего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общего образования по экономике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237" w:lineRule="auto"/>
        <w:tabs>
          <w:tab w:leader="none" w:pos="28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Вентана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2008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авторской программы Королёвой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10-11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Вентана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2014.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Программа предназначена для школьников старшей школы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обучающихся на базовом и углубленном уровнях и предлагает определенную последовательность и глубину изучения экономических концепций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позволяющую обеспечить преемственность со средним или высшим профессиональным образованием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20" w:right="20" w:firstLine="566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Программа ориентирована на изучение школьниками базовых экономических понятий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формирование у школьников общих и в то же время достаточно цельных представлений о процессах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связанных с экономикой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бизнесом и предпринимательской деятельностью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Программа предлагает логичную последовательность изучения экономических вопросов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Изучение элективного курса направлено на достижение следующих целей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20" w:right="20" w:firstLine="566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гражданского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экономического образа мышления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потребности в получении экономических знаний и интереса к изучению экономических дисциплин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способности к личному самоопределению и самореализации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20" w:right="20" w:firstLine="56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воспитание ответственности за экономические решения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уважения к труду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предпринимательской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20" w:firstLine="567"/>
        <w:spacing w:after="0" w:line="238" w:lineRule="auto"/>
        <w:tabs>
          <w:tab w:leader="none" w:pos="833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освоение системы знаний об экономической деятельности фирм и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 экономике России для последующего изучения экономических дисциплин в учреждения системы среднего и высшего профессионального образования или для самообразования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овладение умениями получать и критически осмысливать экономическую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информацию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анализировать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систематизировать полученные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подходить к событиям общественной и политической жизни с экономической точки зрения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освоение способов познавательной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коммуникативной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практической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необходимых для участия в экономической жизни общества и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выносить аргументированные суждения по экономическим вопросам с применением элементов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80" w:right="20" w:hanging="56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научного анализа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опыта применения полученных знаний и умений для решения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2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типичных экономических задач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освоения экономических знаний для будущей работы в качестве наемного работника и эффективной самореализации в экономической сфере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Общая характеристика элективного курса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120" w:firstLine="56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Данный курс представляет собой комплекс знаний по экономике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минимально необходимый современному гражданину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включает общие представления об экономике как хозяйстве и науке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 экономике семьи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фирмы и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00" w:hanging="180"/>
        <w:spacing w:after="0"/>
        <w:tabs>
          <w:tab w:leader="none" w:pos="3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международной сфере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содержательные линии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820" w:hanging="133"/>
        <w:spacing w:after="0"/>
        <w:tabs>
          <w:tab w:leader="none" w:pos="82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концепции экономики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820" w:hanging="133"/>
        <w:spacing w:after="0"/>
        <w:tabs>
          <w:tab w:leader="none" w:pos="82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микроэкономика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820" w:hanging="133"/>
        <w:spacing w:after="0"/>
        <w:tabs>
          <w:tab w:leader="none" w:pos="82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макроэкономика и международная экономика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20" w:firstLine="56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означенные компоненты содержания взаимосвязаны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связаны и взаимодействуют друг с другом изучаемые объекты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Содержание предмета обеспечивает преемственность по отношению к основной школе путем углубленного изучения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прежде всего экономики фирмы и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вводится ряд новых более сложных вопросов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Освоение нового содержания осуществляется с опорой на межпредметные 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85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предусматривает формирование у учащихся общеучебных умений и навыков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универсальных способов деятельности и ключевых компетенций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Приоритетными для элективного курса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Экономика без тайн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уровне среднего общего образования являются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38" w:orient="portrait"/>
          <w:cols w:equalWidth="0" w:num="1">
            <w:col w:w="9340"/>
          </w:cols>
          <w:pgMar w:left="1440" w:top="1127" w:right="1126" w:bottom="429" w:gutter="0" w:footer="0" w:header="0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объяснение изученных положений на предлагаемых конкретных примерах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20" w:firstLine="85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решение познавательных и практических задач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отражающих типичные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ситуации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применение математических знаний в экономической сфере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20" w:right="20" w:firstLine="85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применение полученных знаний для определения экономически рационального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поведения и порядка действий в конкретных ситуациях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right="20" w:firstLine="85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умение обосновывать суждения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давать определения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приводить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доказательства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right="20" w:firstLine="85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поиск нужной информации по заданной теме в источниках различного типа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извлечение необходимой информации из источников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созданных в различных знаковых системах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Отделение основной информации от второстепенной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критическое оценивание достоверности полученной информации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передача содержания информации адекватно поставленной цели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120" w:right="20" w:firstLine="85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выбор вида чтения в соответствии с поставленной целью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ознакомительное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просмотровое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поисковое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right="20" w:firstLine="85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работа с тестами различных стилей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понимание их специфики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адекватное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восприятие языка СМИ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852"/>
        <w:spacing w:after="0" w:line="236" w:lineRule="auto"/>
        <w:tabs>
          <w:tab w:leader="none" w:pos="1133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использование мультимедийных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ресурсов для обработки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передачи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систематизации информации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создания баз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презентации результатов познавательной и практической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20" w:right="20" w:firstLine="852"/>
        <w:spacing w:after="0" w:line="237" w:lineRule="auto"/>
        <w:tabs>
          <w:tab w:leader="none" w:pos="126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владение различными видами публичных выступлений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высказывания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монолог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дискуссия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полемика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следование этическим нормам и правилам ведения диалога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Давать развернутый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обоснованный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полный по структуре устный ответ с использованием основной учебной информации и самостоятельно освоенных сведений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отсылкой к источникам информации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20" w:right="20" w:firstLine="852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в проектной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владение приемами исследовательской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элементарными умениями прогноза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умение отвечать на вопрос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произойдет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…»).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20" w:firstLine="566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Введение дополнительного часа на изучение экономики в течении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 лет является обоснованным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изучение экономики является частью теоретической и практической подготовки старшеклассников к ЕГЭ по обществознанию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практико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ориентированные уроки способствуют формированию ценностных установок и функциональной экономической грамотности учащихся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2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элективного курса в учебном плане</w:t>
      </w:r>
    </w:p>
    <w:p>
      <w:pPr>
        <w:ind w:left="6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Учебный план школы отводит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часа на изучение элективного курса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Экономика без тайн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расчета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учебный час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20" w:right="2680" w:firstLine="266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Содержание тем учебного предмета 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Предмет макроэкономики</w:t>
      </w:r>
    </w:p>
    <w:p>
      <w:pPr>
        <w:ind w:left="120"/>
        <w:spacing w:after="0"/>
        <w:tabs>
          <w:tab w:leader="none" w:pos="1180" w:val="left"/>
          <w:tab w:leader="none" w:pos="3120" w:val="left"/>
          <w:tab w:leader="none" w:pos="5500" w:val="left"/>
          <w:tab w:leader="none" w:pos="6360" w:val="left"/>
          <w:tab w:leader="none" w:pos="6640" w:val="left"/>
          <w:tab w:leader="none" w:pos="7060" w:val="left"/>
          <w:tab w:leader="none" w:pos="8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Вопросы</w:t>
        <w:tab/>
        <w:t>макроэкономики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Макроэкономические</w:t>
        <w:tab/>
        <w:t>агенты</w:t>
        <w:tab/>
        <w:t>и</w:t>
        <w:tab/>
        <w:t>их</w:t>
        <w:tab/>
        <w:t>экономические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цели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Макроэкономические рынки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Экономический кругооборот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Валовой внутренний продукт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ВВП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его структура и динамика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Измерение ВВП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Конечные и промежуточные блага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Структура ВВП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источникам доходов и направлениям использования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Уровень благосостояния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Номинальный и реальный ВВП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Амортизация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Величина ВВП на душу населения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Экономический рост и развитие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Экономический цикл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Экономический рост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Содержание экономического 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Факторы экономического роста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Экстенсивный и интенсивный рост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Измерение экономического 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2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Темпы экономического 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Цели экономического 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показатели уровня благосостояния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Индекс человеческого развития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Величина ВВП на душу населения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Индекс человеческого развития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38" w:orient="portrait"/>
          <w:cols w:equalWidth="0" w:num="1">
            <w:col w:w="9340"/>
          </w:cols>
          <w:pgMar w:left="1440" w:top="1122" w:right="1126" w:bottom="429" w:gutter="0" w:footer="0" w:header="0"/>
        </w:sectPr>
      </w:pPr>
    </w:p>
    <w:p>
      <w:pPr>
        <w:jc w:val="both"/>
        <w:ind w:left="120" w:firstLine="1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циклы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Причины и виды экономического цикла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Фазы экономического цикла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подъем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депрессия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оживление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Кризис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Объективный характер и неизбежность экономических циклов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Деньги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банки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инфляция</w:t>
      </w:r>
    </w:p>
    <w:p>
      <w:pPr>
        <w:ind w:left="3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Возникновение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свойства и функции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Виды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Качества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Ликвидность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Денежные агрегаты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20" w:firstLine="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Инфляция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Сущность инфляции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Уравнение обмена Фишера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Типы и виды инфляции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Инфляция спроса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Инфляция издержек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Стагфляция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Дефляция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Дезинфляция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Инфляционные ожидания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Скрытая инфляция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последствия инфляции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Антиинфляционные 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Основы денежной политики государства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2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Банковская система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Роль Центрального банка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операции коммерческих банков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привлечение вкладов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выдача кредитов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осуществление расчетов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дилерские функции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Процент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Безналичные расчеты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Банковские услуги потребителям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Виды вкладов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Вклад до востребования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текущий вклад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Срочный вклад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Потребительский кредит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Залог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Кредитные и дебетные карточки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Монетарная политика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денежно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кредитная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Банка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Банковские резервы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Норма обязательных резервов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Другие финансовые институты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паевые и инвестиционные фонды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страховые компании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Роль государства в экономике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20" w:firstLine="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Функции государства в экономике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Законодательное регулирование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Обеспечение экономического 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Стабилизация экономики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Частные и общественные блага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Внешние эффекты Предоставление общественных благ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Государственный бюджет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Государственные доходы и расходы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Дефицит и профицит государственного бюджета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методы покрытия дефицита государственного бюджета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сокращение расходов бюджета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повышение налогов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денежная эмиссия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заимствования на внутреннем и внешнем рынке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продажа активов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Государственный долг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Проведение социальной политики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Бюджетно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налоговая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фискальная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политика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120" w:firstLine="3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Этапы развития налогообложения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Функции налогов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фискальная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регулирующая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контрольная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социальная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поощрительная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Элементы налога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субъект налога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объект налога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налоговая база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источники доходов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Виды налогов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Прямые налоги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Подоходный налог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Косвенные налоги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Налог на добавленную стоимость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Акцизы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Отчисления на соцстрахование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Системы налогообложения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Пропорциональное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прогрессивное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регрессивное налогообложение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Кривая Лаффера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Налоговые льготы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Занятость и безработица</w:t>
      </w:r>
    </w:p>
    <w:p>
      <w:pPr>
        <w:ind w:left="180"/>
        <w:spacing w:after="0"/>
        <w:tabs>
          <w:tab w:leader="none" w:pos="1940" w:val="left"/>
          <w:tab w:leader="none" w:pos="3220" w:val="left"/>
          <w:tab w:leader="none" w:pos="4480" w:val="left"/>
          <w:tab w:leader="none" w:pos="5480" w:val="left"/>
          <w:tab w:leader="none" w:pos="6520" w:val="left"/>
          <w:tab w:leader="none" w:pos="7260" w:val="left"/>
          <w:tab w:leader="none" w:pos="8440" w:val="left"/>
          <w:tab w:leader="none" w:pos="88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Безработица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Структура</w:t>
        <w:tab/>
        <w:t>населения</w:t>
        <w:tab/>
        <w:t>страны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Рабочая</w:t>
        <w:tab/>
        <w:t>сила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Причины</w:t>
        <w:tab/>
        <w:t>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виды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безработицы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Уровень безработицы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Естественный уровень безработицы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Экономические последствия безработицы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Государственная политика в области занятости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right="20" w:firstLine="4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Практическая работа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 текста экономического содержания по теме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последствия безработицы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6.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Элементы международной экономики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20" w:firstLine="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Международная торговля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Экономические причины международной торговли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Абсолютное преимущество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Факторы абсолютного преимущества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Сравнительное преимущество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Экспорт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Импорт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Сальдо внешней торговли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1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Современные тенденции развития мирового хозяйства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Государственная политика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области внешней торговли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Протекционизм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Импортные пошлины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Демпинг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Торговые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барьеры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Всемирная торговая организация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20" w:firstLine="1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Валюта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Валютные предметы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Валютный рынок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Покупательная способность валют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Паритет покупательной способности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Валютные интервенции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Девальвация и ревальвация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Конвертируемость валют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38" w:orient="portrait"/>
          <w:cols w:equalWidth="0" w:num="1">
            <w:col w:w="9340"/>
          </w:cols>
          <w:pgMar w:left="1440" w:top="1135" w:right="1126" w:bottom="429" w:gutter="0" w:footer="0" w:header="0"/>
        </w:sectPr>
      </w:pPr>
    </w:p>
    <w:p>
      <w:pPr>
        <w:jc w:val="both"/>
        <w:ind w:left="120" w:right="140" w:firstLine="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Современные тенденции развития мирового хозяйства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Международное экономическое сотрудничество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Экономическая интеграция и ее основные этапы и формы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таможенный союз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общий рынок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экономический союз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Международные экономические организации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Всемирный банк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Международный валютный фонд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7.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Основные проблемы экономики России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120" w:right="140" w:firstLine="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Эволюция экономических систем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Становление современной рыночной экономики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проблемы экономики России и экономическое развитие регионов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Экономическая политика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Россия в мировой экономике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Экономические реформы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Перестройка экономики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Либерализация цен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Шоковая терапия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Приватизация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120" w:right="140" w:firstLine="2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Экономические институты и их функции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регулирующие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посреднические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информационные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Создание институтов рыночной экономики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Структурные сдвиги в экономике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Итоговое повторение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Тематический план 11 класс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8"/>
        </w:trPr>
        <w:tc>
          <w:tcPr>
            <w:tcW w:w="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59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Тема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В т.ч.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п/п</w:t>
            </w:r>
          </w:p>
        </w:tc>
        <w:tc>
          <w:tcPr>
            <w:tcW w:w="5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часов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контроль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940" w:type="dxa"/>
            <w:vAlign w:val="bottom"/>
            <w:tcBorders>
              <w:bottom w:val="single" w:sz="8" w:color="auto"/>
            </w:tcBorders>
          </w:tcPr>
          <w:p>
            <w:pPr>
              <w:ind w:left="2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Макроэкономика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Предмет макроэкономики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ВВП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его структура и динамика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банки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инфляция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Роль государства в экономике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Занятость и безработица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Элементы международной экономики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Основные проблемы экономики  России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Итоговое повторение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Итого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33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Требования к уровню подготовки</w:t>
      </w:r>
    </w:p>
    <w:p>
      <w:pPr>
        <w:ind w:left="340" w:hanging="210"/>
        <w:spacing w:after="0" w:line="235" w:lineRule="auto"/>
        <w:tabs>
          <w:tab w:leader="none" w:pos="3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результате изучения элективного курса ученик должен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знать/понимать:</w:t>
      </w:r>
    </w:p>
    <w:p>
      <w:pPr>
        <w:ind w:left="820" w:hanging="330"/>
        <w:spacing w:after="0" w:line="237" w:lineRule="auto"/>
        <w:tabs>
          <w:tab w:leader="none" w:pos="820" w:val="left"/>
        </w:tabs>
        <w:numPr>
          <w:ilvl w:val="1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смысл основных теоретических положений экономической науки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9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860" w:right="160" w:hanging="370"/>
        <w:spacing w:after="0" w:line="226" w:lineRule="auto"/>
        <w:tabs>
          <w:tab w:leader="none" w:pos="838" w:val="left"/>
        </w:tabs>
        <w:numPr>
          <w:ilvl w:val="1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экономические принципы функционирования семьи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рынка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государства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также международных экономических отношений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820" w:hanging="330"/>
        <w:spacing w:after="0"/>
        <w:tabs>
          <w:tab w:leader="none" w:pos="820" w:val="left"/>
        </w:tabs>
        <w:numPr>
          <w:ilvl w:val="1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функции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банковскую систему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820" w:hanging="330"/>
        <w:spacing w:after="0"/>
        <w:tabs>
          <w:tab w:leader="none" w:pos="820" w:val="left"/>
        </w:tabs>
        <w:numPr>
          <w:ilvl w:val="1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причины различий в уровне оплаты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820" w:hanging="330"/>
        <w:spacing w:after="0" w:line="239" w:lineRule="auto"/>
        <w:tabs>
          <w:tab w:leader="none" w:pos="820" w:val="left"/>
        </w:tabs>
        <w:numPr>
          <w:ilvl w:val="1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виды налогов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уметь: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860" w:right="160" w:hanging="360"/>
        <w:spacing w:after="0" w:line="226" w:lineRule="auto"/>
        <w:tabs>
          <w:tab w:leader="none" w:pos="829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приводить примеры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взаимодействия рынков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прямых и косвенных налогов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взаимовыгодной международной торговли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860" w:right="160" w:hanging="360"/>
        <w:spacing w:after="0" w:line="230" w:lineRule="auto"/>
        <w:tabs>
          <w:tab w:leader="none" w:pos="829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предмет и метод экономической науки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факторы производства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цели фирмы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виды налогов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банковскую систему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рынок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экономические циклы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глобальные экономические проблемы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860" w:right="160" w:hanging="360"/>
        <w:spacing w:after="0" w:line="230" w:lineRule="auto"/>
        <w:tabs>
          <w:tab w:leader="none" w:pos="829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объяснять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экономические явления с помощью альтернативной стоимости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выгоды обмена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закон спроса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причины неравенства доходов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роль минимальной оплаты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последствия инфляции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860" w:right="140" w:hanging="360"/>
        <w:spacing w:after="0" w:line="230" w:lineRule="auto"/>
        <w:tabs>
          <w:tab w:leader="none" w:pos="829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сравнивать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различать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спрос и величину спроса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предложение и величину предложения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рыночные структуры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безработных и незанятых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организационно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правовые формы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акции и облигации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ectPr>
          <w:pgSz w:w="11900" w:h="16838" w:orient="portrait"/>
          <w:cols w:equalWidth="0" w:num="1">
            <w:col w:w="9480"/>
          </w:cols>
          <w:pgMar w:left="1440" w:top="1135" w:right="986" w:bottom="429" w:gutter="0" w:footer="0" w:header="0"/>
        </w:sectPr>
      </w:pPr>
    </w:p>
    <w:p>
      <w:pPr>
        <w:jc w:val="both"/>
        <w:ind w:left="1100" w:hanging="360"/>
        <w:spacing w:after="0" w:line="234" w:lineRule="auto"/>
        <w:tabs>
          <w:tab w:leader="none" w:pos="1068" w:val="left"/>
        </w:tabs>
        <w:numPr>
          <w:ilvl w:val="0"/>
          <w:numId w:val="6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вычислять на условных примерах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величину рыночного спроса и предложения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изменения спроса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зависимости от изменения формирующих его факторов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равновесную цену и объем продаж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экономические и бухгалтерские затраты и прибыль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Бюджет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доходов и расходов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спрос фирмы на труд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реальный ВВП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темп инфляции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уровень безработицы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6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1100" w:right="20" w:hanging="360"/>
        <w:spacing w:after="0" w:line="230" w:lineRule="auto"/>
        <w:tabs>
          <w:tab w:leader="none" w:pos="1068" w:val="left"/>
        </w:tabs>
        <w:numPr>
          <w:ilvl w:val="0"/>
          <w:numId w:val="6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применять для экономического анализа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кривые спроса и предложения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графики изменений рыночной ситуации в результате изменения цен на факторы производства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товары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заменители и дополняющие товары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1100" w:right="20" w:hanging="360"/>
        <w:spacing w:after="0" w:line="226" w:lineRule="auto"/>
        <w:tabs>
          <w:tab w:leader="none" w:pos="1068" w:val="left"/>
        </w:tabs>
        <w:numPr>
          <w:ilvl w:val="0"/>
          <w:numId w:val="6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использовать приобретенные знания и умения в практической деятельности и в повседневной жизни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Учебно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методическое обеспечение предмета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Королёва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Бурмистрова 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10-11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учебник для учащихся</w:t>
      </w:r>
    </w:p>
    <w:p>
      <w:pPr>
        <w:ind w:left="360"/>
        <w:spacing w:after="0" w:line="237" w:lineRule="auto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общеобразовательных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Вентана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Киреев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10-11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учебник для учащихся общеобразовательных</w:t>
      </w:r>
    </w:p>
    <w:p>
      <w:pPr>
        <w:ind w:left="360"/>
        <w:spacing w:after="0" w:line="237" w:lineRule="auto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учреждений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базовый уровень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2013.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Обществознание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полный справочник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Баранов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Воронцов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Шевченко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</w:t>
      </w:r>
    </w:p>
    <w:p>
      <w:pPr>
        <w:ind w:left="360"/>
        <w:spacing w:after="0" w:line="237" w:lineRule="auto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Баранова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Астрель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Владимир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2011.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Сутырин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История экономических учений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пособие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Сутырин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/>
        <w:spacing w:after="0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Шишкин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Борисов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Эксмо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2010.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словари и энциклопедии</w:t>
      </w:r>
    </w:p>
    <w:p>
      <w:pPr>
        <w:ind w:left="360" w:hanging="360"/>
        <w:spacing w:after="0" w:line="239" w:lineRule="auto"/>
        <w:tabs>
          <w:tab w:leader="none" w:pos="36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Цифровые образовательные ресурсы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3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Технические средства обучения</w:t>
      </w:r>
    </w:p>
    <w:p>
      <w:pPr>
        <w:ind w:left="1060" w:hanging="340"/>
        <w:spacing w:after="0" w:line="237" w:lineRule="auto"/>
        <w:tabs>
          <w:tab w:leader="none" w:pos="1060" w:val="left"/>
        </w:tabs>
        <w:numPr>
          <w:ilvl w:val="0"/>
          <w:numId w:val="8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Мультимедийный компьютер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1060" w:hanging="340"/>
        <w:spacing w:after="0" w:line="239" w:lineRule="auto"/>
        <w:tabs>
          <w:tab w:leader="none" w:pos="1060" w:val="left"/>
        </w:tabs>
        <w:numPr>
          <w:ilvl w:val="0"/>
          <w:numId w:val="8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Мультимедийный проектор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1060" w:hanging="340"/>
        <w:spacing w:after="0" w:line="239" w:lineRule="auto"/>
        <w:tabs>
          <w:tab w:leader="none" w:pos="1060" w:val="left"/>
        </w:tabs>
        <w:numPr>
          <w:ilvl w:val="0"/>
          <w:numId w:val="8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Экран проекционный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jc w:val="center"/>
        <w:ind w:right="-3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sectPr>
      <w:pgSz w:w="11900" w:h="16838" w:orient="portrait"/>
      <w:cols w:equalWidth="0" w:num="1">
        <w:col w:w="9580"/>
      </w:cols>
      <w:pgMar w:left="1200" w:top="1154" w:right="1126" w:bottom="42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"/>
      <w:numFmt w:val="bullet"/>
      <w:start w:val="1"/>
    </w:lvl>
  </w:abstractNum>
  <w:abstractNum w:abstractNumId="4">
    <w:nsid w:val="26E9"/>
    <w:multiLevelType w:val="hybridMultilevel"/>
    <w:lvl w:ilvl="0">
      <w:lvlJc w:val="left"/>
      <w:lvlText w:val=""/>
      <w:numFmt w:val="bullet"/>
      <w:start w:val="1"/>
    </w:lvl>
  </w:abstractNum>
  <w:abstractNum w:abstractNumId="5">
    <w:nsid w:val="1EB"/>
    <w:multiLevelType w:val="hybridMultilevel"/>
    <w:lvl w:ilvl="0">
      <w:lvlJc w:val="left"/>
      <w:lvlText w:val=""/>
      <w:numFmt w:val="bullet"/>
      <w:start w:val="1"/>
    </w:lvl>
  </w:abstractNum>
  <w:abstractNum w:abstractNumId="6">
    <w:nsid w:val="BB3"/>
    <w:multiLevelType w:val="hybridMultilevel"/>
    <w:lvl w:ilvl="0">
      <w:lvlJc w:val="left"/>
      <w:lvlText w:val=""/>
      <w:numFmt w:val="bullet"/>
      <w:start w:val="1"/>
    </w:lvl>
  </w:abstractNum>
  <w:abstractNum w:abstractNumId="7">
    <w:nsid w:val="2EA6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pn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2023-08-29T20:35:30Z</dcterms:created>
  <dcterms:modified xsi:type="dcterms:W3CDTF">2023-08-29T20:35:30Z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